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2017</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0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October 18, 2017</w:t>
      </w:r>
    </w:p>
    <w:p>
      <w:pPr>
        <w:spacing w:after="0" w:line="23" w:lineRule="exact"/>
        <w:rPr>
          <w:sz w:val="20"/>
          <w:szCs w:val="20"/>
          <w:color w:val="auto"/>
        </w:rPr>
      </w:pPr>
    </w:p>
    <w:p>
      <w:pPr>
        <w:ind w:left="546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46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620" w:type="dxa"/>
            <w:vAlign w:val="bottom"/>
          </w:tcPr>
          <w:p>
            <w:pPr>
              <w:ind w:left="6000"/>
              <w:spacing w:after="0"/>
              <w:rPr>
                <w:sz w:val="20"/>
                <w:szCs w:val="20"/>
                <w:color w:val="auto"/>
              </w:rPr>
            </w:pPr>
            <w:r>
              <w:rPr>
                <w:rFonts w:ascii="Arial" w:cs="Arial" w:eastAsia="Arial" w:hAnsi="Arial"/>
                <w:sz w:val="18"/>
                <w:szCs w:val="18"/>
                <w:color w:val="auto"/>
              </w:rPr>
              <w:t>By:</w:t>
            </w:r>
          </w:p>
        </w:tc>
        <w:tc>
          <w:tcPr>
            <w:tcW w:w="4800" w:type="dxa"/>
            <w:vAlign w:val="bottom"/>
          </w:tcPr>
          <w:p>
            <w:pPr>
              <w:ind w:left="180"/>
              <w:spacing w:after="0"/>
              <w:rPr>
                <w:sz w:val="20"/>
                <w:szCs w:val="20"/>
                <w:color w:val="auto"/>
              </w:rPr>
            </w:pPr>
            <w:r>
              <w:rPr>
                <w:rFonts w:ascii="Arial" w:cs="Arial" w:eastAsia="Arial" w:hAnsi="Arial"/>
                <w:sz w:val="18"/>
                <w:szCs w:val="18"/>
                <w:color w:val="auto"/>
              </w:rPr>
              <w:t>/s/ Pierre Dulin</w:t>
            </w:r>
          </w:p>
        </w:tc>
      </w:tr>
      <w:tr>
        <w:trPr>
          <w:trHeight w:val="418"/>
        </w:trPr>
        <w:tc>
          <w:tcPr>
            <w:tcW w:w="6620" w:type="dxa"/>
            <w:vAlign w:val="bottom"/>
          </w:tcPr>
          <w:p>
            <w:pPr>
              <w:ind w:left="6000"/>
              <w:spacing w:after="0"/>
              <w:rPr>
                <w:sz w:val="20"/>
                <w:szCs w:val="20"/>
                <w:color w:val="auto"/>
              </w:rPr>
            </w:pPr>
            <w:r>
              <w:rPr>
                <w:rFonts w:ascii="Arial" w:cs="Arial" w:eastAsia="Arial" w:hAnsi="Arial"/>
                <w:sz w:val="18"/>
                <w:szCs w:val="18"/>
                <w:color w:val="auto"/>
              </w:rPr>
              <w:t>Name:</w:t>
            </w:r>
          </w:p>
        </w:tc>
        <w:tc>
          <w:tcPr>
            <w:tcW w:w="4800" w:type="dxa"/>
            <w:vAlign w:val="bottom"/>
          </w:tcPr>
          <w:p>
            <w:pPr>
              <w:ind w:left="160"/>
              <w:spacing w:after="0"/>
              <w:rPr>
                <w:sz w:val="20"/>
                <w:szCs w:val="20"/>
                <w:color w:val="auto"/>
              </w:rPr>
            </w:pPr>
            <w:r>
              <w:rPr>
                <w:rFonts w:ascii="Arial" w:cs="Arial" w:eastAsia="Arial" w:hAnsi="Arial"/>
                <w:sz w:val="18"/>
                <w:szCs w:val="18"/>
                <w:color w:val="auto"/>
              </w:rPr>
              <w:t>Pierre Dulin</w:t>
            </w:r>
          </w:p>
        </w:tc>
      </w:tr>
      <w:tr>
        <w:trPr>
          <w:trHeight w:val="230"/>
        </w:trPr>
        <w:tc>
          <w:tcPr>
            <w:tcW w:w="6620" w:type="dxa"/>
            <w:vAlign w:val="bottom"/>
          </w:tcPr>
          <w:p>
            <w:pPr>
              <w:ind w:left="6000"/>
              <w:spacing w:after="0"/>
              <w:rPr>
                <w:sz w:val="20"/>
                <w:szCs w:val="20"/>
                <w:color w:val="auto"/>
              </w:rPr>
            </w:pPr>
            <w:r>
              <w:rPr>
                <w:rFonts w:ascii="Arial" w:cs="Arial" w:eastAsia="Arial" w:hAnsi="Arial"/>
                <w:sz w:val="18"/>
                <w:szCs w:val="18"/>
                <w:color w:val="auto"/>
              </w:rPr>
              <w:t>Title:</w:t>
            </w:r>
          </w:p>
        </w:tc>
        <w:tc>
          <w:tcPr>
            <w:tcW w:w="4800" w:type="dxa"/>
            <w:vAlign w:val="bottom"/>
          </w:tcPr>
          <w:p>
            <w:pPr>
              <w:ind w:left="160"/>
              <w:spacing w:after="0"/>
              <w:rPr>
                <w:sz w:val="20"/>
                <w:szCs w:val="20"/>
                <w:color w:val="auto"/>
              </w:rPr>
            </w:pPr>
            <w:r>
              <w:rPr>
                <w:rFonts w:ascii="Arial" w:cs="Arial" w:eastAsia="Arial" w:hAnsi="Arial"/>
                <w:sz w:val="18"/>
                <w:szCs w:val="18"/>
                <w:color w:val="auto"/>
              </w:rPr>
              <w:t>General Manager</w:t>
            </w:r>
          </w:p>
        </w:tc>
      </w:tr>
      <w:tr>
        <w:trPr>
          <w:trHeight w:val="891"/>
        </w:trPr>
        <w:tc>
          <w:tcPr>
            <w:tcW w:w="662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3107690</wp:posOffset>
            </wp:positionH>
            <wp:positionV relativeFrom="page">
              <wp:posOffset>603250</wp:posOffset>
            </wp:positionV>
            <wp:extent cx="1346200" cy="5746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346200" cy="574675"/>
                    </a:xfrm>
                    <a:prstGeom prst="rect">
                      <a:avLst/>
                    </a:prstGeom>
                    <a:noFill/>
                  </pic:spPr>
                </pic:pic>
              </a:graphicData>
            </a:graphic>
          </wp:anchor>
        </w:drawing>
      </w: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IMMEDIATE RELEASE</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FOR THIRD QUARTER 2017</w:t>
      </w:r>
    </w:p>
    <w:p>
      <w:pPr>
        <w:spacing w:after="0" w:line="207"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October 18, 2017 </w:t>
      </w:r>
      <w:r>
        <w:rPr>
          <w:rFonts w:ascii="Arial" w:cs="Arial" w:eastAsia="Arial" w:hAnsi="Arial"/>
          <w:sz w:val="18"/>
          <w:szCs w:val="18"/>
          <w:color w:val="auto"/>
        </w:rPr>
        <w:t>- Banco Latinoamericano de Comercio Exterior, S.A. (Bladex) (NYSE: BLX), announced today a</w:t>
      </w:r>
      <w:r>
        <w:rPr>
          <w:rFonts w:ascii="Arial" w:cs="Arial" w:eastAsia="Arial" w:hAnsi="Arial"/>
          <w:sz w:val="18"/>
          <w:szCs w:val="18"/>
          <w:b w:val="1"/>
          <w:bCs w:val="1"/>
          <w:color w:val="auto"/>
        </w:rPr>
        <w:t xml:space="preserve"> </w:t>
      </w:r>
      <w:r>
        <w:rPr>
          <w:rFonts w:ascii="Arial" w:cs="Arial" w:eastAsia="Arial" w:hAnsi="Arial"/>
          <w:sz w:val="18"/>
          <w:szCs w:val="18"/>
          <w:color w:val="auto"/>
        </w:rPr>
        <w:t>quarterly cash dividend of US$0.385 per share corresponding to the third quarter 2017.</w:t>
      </w:r>
    </w:p>
    <w:p>
      <w:pPr>
        <w:spacing w:after="0" w:line="16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cash dividend was approved by the Board of Directors at its meeting held October 17, 2017, and is payable November 21, 2017 to the Bank’s stockholders as of November 1, 2017 record date.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2017, Bladex had 39,364,561.73 shares outstanding of all classes.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initiated operations in 1979 to promote foreign trade finance and economic integration in the Region.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access Bladex’s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8616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0430" cy="861695"/>
                    </a:xfrm>
                    <a:prstGeom prst="rect">
                      <a:avLst/>
                    </a:prstGeom>
                    <a:noFill/>
                  </pic:spPr>
                </pic:pic>
              </a:graphicData>
            </a:graphic>
          </wp:anchor>
        </w:drawing>
      </w:r>
    </w:p>
    <w:p>
      <w:pPr>
        <w:spacing w:after="0" w:line="200" w:lineRule="exact"/>
        <w:rPr>
          <w:sz w:val="20"/>
          <w:szCs w:val="20"/>
          <w:color w:val="auto"/>
        </w:rPr>
      </w:pPr>
    </w:p>
    <w:p>
      <w:pPr>
        <w:spacing w:after="0" w:line="262" w:lineRule="exact"/>
        <w:rPr>
          <w:sz w:val="20"/>
          <w:szCs w:val="20"/>
          <w:color w:val="auto"/>
        </w:rPr>
      </w:pPr>
    </w:p>
    <w:p>
      <w:pPr>
        <w:ind w:left="100"/>
        <w:spacing w:after="0"/>
        <w:rPr>
          <w:sz w:val="20"/>
          <w:szCs w:val="20"/>
          <w:color w:val="auto"/>
        </w:rPr>
      </w:pPr>
      <w:r>
        <w:rPr>
          <w:rFonts w:ascii="Arial" w:cs="Arial" w:eastAsia="Arial" w:hAnsi="Arial"/>
          <w:sz w:val="18"/>
          <w:szCs w:val="18"/>
          <w:color w:val="auto"/>
        </w:rPr>
        <w:t>Irma Garrido Arango - SVP, Corporate Development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E-mail address: igarrido@bladex.com. Tel.: (+507) 210-8559</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597535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2020-01-18T13:54:44Z</dcterms:created>
  <dcterms:modified xsi:type="dcterms:W3CDTF">2020-01-18T13:54:44Z</dcterms:modified>
</cp:coreProperties>
</file>